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65D1A" w:rsidP="00F65D1A" w14:paraId="5F091467" w14:textId="17FDA1A7">
      <w:pPr>
        <w:pStyle w:val="title"/>
        <w:sectPr w:rsidSect="00F65D1A">
          <w:headerReference w:type="default" r:id="rId5"/>
          <w:headerReference w:type="first" r:id="rId6"/>
          <w:footerReference w:type="first" r:id="rId7"/>
          <w:type w:val="continuous"/>
          <w:pgSz w:w="12240" w:h="15840"/>
          <w:pgMar w:top="3168" w:right="1080" w:bottom="2304" w:left="1080" w:header="720" w:footer="720" w:gutter="0"/>
          <w:cols w:space="720"/>
          <w:titlePg/>
          <w:docGrid w:linePitch="360"/>
        </w:sectPr>
      </w:pPr>
      <w:r>
        <w:rPr>
          <w:noProof/>
        </w:rPr>
        <w:drawing>
          <wp:anchor simplePos="0" relativeHeight="251658240" behindDoc="0" locked="1" layoutInCell="1" allowOverlap="1">
            <wp:simplePos x="0" y="0"/>
            <wp:positionH relativeFrom="margin">
              <wp:posOffset>5207000</wp:posOffset>
            </wp:positionH>
            <wp:positionV relativeFrom="margin">
              <wp:posOffset>-1155700</wp:posOffset>
            </wp:positionV>
            <wp:extent cx="1143002" cy="777242"/>
            <wp:wrapNone/>
            <wp:docPr id="10001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8"/>
                    <a:stretch>
                      <a:fillRect/>
                    </a:stretch>
                  </pic:blipFill>
                  <pic:spPr>
                    <a:xfrm>
                      <a:off x="0" y="0"/>
                      <a:ext cx="1143002" cy="777242"/>
                    </a:xfrm>
                    <a:prstGeom prst="rect">
                      <a:avLst/>
                    </a:prstGeom>
                  </pic:spPr>
                </pic:pic>
              </a:graphicData>
            </a:graphic>
          </wp:anchor>
        </w:drawing>
      </w:r>
      <w:bookmarkStart w:id="0" w:name="_Hlk97113014"/>
      <w:r>
        <w:rPr>
          <w:noProof/>
        </w:rPr>
        <w:t>Recreational Program Risk</w:t>
      </w:r>
      <w:r w:rsidR="00F57D80">
        <w:rPr>
          <w:noProof/>
        </w:rPr>
        <w:t>s</w:t>
      </w:r>
      <w:r>
        <w:rPr>
          <w:noProof/>
        </w:rPr>
        <w:t xml:space="preserve"> </w:t>
      </w:r>
      <w:r w:rsidR="005B28FE">
        <w:rPr>
          <w:noProof/>
        </w:rPr>
        <w:t>at Religious Organizations</w:t>
      </w:r>
    </w:p>
    <w:bookmarkEnd w:id="0"/>
    <w:p w:rsidR="00945F78" w:rsidP="007A2AC5" w14:paraId="21D8E242" w14:textId="3C2DEA04">
      <w:pPr>
        <w:pStyle w:val="body"/>
      </w:pPr>
      <w:r>
        <w:t>Religious organizations</w:t>
      </w:r>
      <w:r w:rsidR="00554E98">
        <w:t xml:space="preserve"> are increasingly offering </w:t>
      </w:r>
      <w:r>
        <w:t>activities to engage children, teens and young adults.</w:t>
      </w:r>
      <w:r w:rsidR="00D83943">
        <w:t xml:space="preserve"> These activities may include recreational sports or church lock-ins</w:t>
      </w:r>
      <w:r>
        <w:t>, and they are</w:t>
      </w:r>
      <w:r w:rsidR="00964582">
        <w:t xml:space="preserve"> often chosen because they can foster a sense of community. However, these activities also come with risk</w:t>
      </w:r>
      <w:r>
        <w:t>s to both the children and your organization</w:t>
      </w:r>
      <w:r w:rsidR="00964582">
        <w:t xml:space="preserve">. </w:t>
      </w:r>
    </w:p>
    <w:p w:rsidR="00EE5AB2" w:rsidP="007A2AC5" w14:paraId="0A5CEBF3" w14:textId="5393075B">
      <w:pPr>
        <w:pStyle w:val="body"/>
      </w:pPr>
      <w:r>
        <w:t xml:space="preserve">Before planning a church lock-in or youth sporting event at your organization, you should perform a risk assessment for each offered program to determine the associated </w:t>
      </w:r>
      <w:r w:rsidR="00945F78">
        <w:t>hazards</w:t>
      </w:r>
      <w:r>
        <w:t xml:space="preserve">. </w:t>
      </w:r>
      <w:r w:rsidR="001F267B">
        <w:t xml:space="preserve">Review the following guidance </w:t>
      </w:r>
      <w:r w:rsidR="00945F78">
        <w:t xml:space="preserve">to </w:t>
      </w:r>
      <w:r w:rsidR="001F267B">
        <w:t xml:space="preserve">build a successful risk management program at your institution. </w:t>
      </w:r>
    </w:p>
    <w:p w:rsidR="00D8454E" w:rsidRPr="00AE3E9A" w:rsidP="005D7BA5" w14:paraId="689E860A" w14:textId="77777777">
      <w:pPr>
        <w:pStyle w:val="sectionheader"/>
      </w:pPr>
      <w:bookmarkStart w:id="1" w:name="_Hlk97197382"/>
      <w:r w:rsidRPr="00AE3E9A">
        <w:t>Potential Risks</w:t>
      </w:r>
    </w:p>
    <w:bookmarkEnd w:id="1"/>
    <w:p w:rsidR="00EE5AB2" w:rsidP="00EE5AB2" w14:paraId="1B32AF77" w14:textId="2B676308">
      <w:pPr>
        <w:spacing w:after="240"/>
        <w:rPr>
          <w:color w:val="000000"/>
          <w:sz w:val="20"/>
          <w:szCs w:val="20"/>
        </w:rPr>
      </w:pPr>
      <w:r>
        <w:rPr>
          <w:color w:val="000000"/>
          <w:sz w:val="20"/>
          <w:szCs w:val="20"/>
        </w:rPr>
        <w:t>The risks associated with youth recreational activities are different from what your organization likely faces during the scope of day-to-day religious activities. Whether your organization is just beginning to think about youth-oriented programs or has been successfully running them for years, there are</w:t>
      </w:r>
      <w:r w:rsidR="009B7A90">
        <w:rPr>
          <w:color w:val="000000"/>
          <w:sz w:val="20"/>
          <w:szCs w:val="20"/>
        </w:rPr>
        <w:t xml:space="preserve"> some</w:t>
      </w:r>
      <w:r>
        <w:rPr>
          <w:color w:val="000000"/>
          <w:sz w:val="20"/>
          <w:szCs w:val="20"/>
        </w:rPr>
        <w:t xml:space="preserve"> important risks to </w:t>
      </w:r>
      <w:r w:rsidR="009B7A90">
        <w:rPr>
          <w:color w:val="000000"/>
          <w:sz w:val="20"/>
          <w:szCs w:val="20"/>
        </w:rPr>
        <w:t>think about. Consider the following:</w:t>
      </w:r>
    </w:p>
    <w:p w:rsidR="007411C1" w:rsidP="007411C1" w14:paraId="411A1B38" w14:textId="43B0C2A2">
      <w:pPr>
        <w:numPr>
          <w:ilvl w:val="0"/>
          <w:numId w:val="7"/>
        </w:numPr>
        <w:spacing w:after="240"/>
        <w:rPr>
          <w:color w:val="000000"/>
          <w:sz w:val="20"/>
          <w:szCs w:val="20"/>
        </w:rPr>
      </w:pPr>
      <w:r>
        <w:rPr>
          <w:b/>
          <w:color w:val="000000"/>
          <w:sz w:val="20"/>
          <w:szCs w:val="20"/>
        </w:rPr>
        <w:t>Injuries</w:t>
      </w:r>
      <w:r w:rsidRPr="007411C1">
        <w:rPr>
          <w:color w:val="000000"/>
          <w:sz w:val="20"/>
          <w:szCs w:val="20"/>
        </w:rPr>
        <w:t>—</w:t>
      </w:r>
      <w:r w:rsidR="003066D2">
        <w:rPr>
          <w:color w:val="000000"/>
          <w:sz w:val="20"/>
          <w:szCs w:val="20"/>
        </w:rPr>
        <w:t xml:space="preserve">Failing to act appropriately </w:t>
      </w:r>
      <w:r w:rsidR="00945F78">
        <w:rPr>
          <w:color w:val="000000"/>
          <w:sz w:val="20"/>
          <w:szCs w:val="20"/>
        </w:rPr>
        <w:t xml:space="preserve">or failing to act entirely </w:t>
      </w:r>
      <w:r w:rsidR="003066D2">
        <w:rPr>
          <w:color w:val="000000"/>
          <w:sz w:val="20"/>
          <w:szCs w:val="20"/>
        </w:rPr>
        <w:t xml:space="preserve">in response to an injury can </w:t>
      </w:r>
      <w:r w:rsidR="003066D2">
        <w:rPr>
          <w:color w:val="000000"/>
          <w:sz w:val="20"/>
          <w:szCs w:val="20"/>
        </w:rPr>
        <w:t>lead</w:t>
      </w:r>
      <w:r w:rsidR="003066D2">
        <w:rPr>
          <w:color w:val="000000"/>
          <w:sz w:val="20"/>
          <w:szCs w:val="20"/>
        </w:rPr>
        <w:t xml:space="preserve"> to costly lawsuits. Additionally, your organization is responsible for </w:t>
      </w:r>
      <w:r w:rsidR="00074A30">
        <w:rPr>
          <w:color w:val="000000"/>
          <w:sz w:val="20"/>
          <w:szCs w:val="20"/>
        </w:rPr>
        <w:t>removing hazards on the premises</w:t>
      </w:r>
      <w:r w:rsidR="00945F78">
        <w:rPr>
          <w:color w:val="000000"/>
          <w:sz w:val="20"/>
          <w:szCs w:val="20"/>
        </w:rPr>
        <w:t>,</w:t>
      </w:r>
      <w:r w:rsidR="00074A30">
        <w:rPr>
          <w:color w:val="000000"/>
          <w:sz w:val="20"/>
          <w:szCs w:val="20"/>
        </w:rPr>
        <w:t xml:space="preserve"> includ</w:t>
      </w:r>
      <w:r w:rsidR="00945F78">
        <w:rPr>
          <w:color w:val="000000"/>
          <w:sz w:val="20"/>
          <w:szCs w:val="20"/>
        </w:rPr>
        <w:t>ing</w:t>
      </w:r>
      <w:r w:rsidR="00074A30">
        <w:rPr>
          <w:color w:val="000000"/>
          <w:sz w:val="20"/>
          <w:szCs w:val="20"/>
        </w:rPr>
        <w:t xml:space="preserve"> broken glass, an uneven playing surface an</w:t>
      </w:r>
      <w:r w:rsidR="00945F78">
        <w:rPr>
          <w:color w:val="000000"/>
          <w:sz w:val="20"/>
          <w:szCs w:val="20"/>
        </w:rPr>
        <w:t xml:space="preserve">d </w:t>
      </w:r>
      <w:r w:rsidR="00074A30">
        <w:rPr>
          <w:color w:val="000000"/>
          <w:sz w:val="20"/>
          <w:szCs w:val="20"/>
        </w:rPr>
        <w:t xml:space="preserve">chemicals. </w:t>
      </w:r>
    </w:p>
    <w:p w:rsidR="007411C1" w:rsidP="007411C1" w14:paraId="21F10DD5" w14:textId="5F6BC9B2">
      <w:pPr>
        <w:pStyle w:val="body"/>
        <w:numPr>
          <w:ilvl w:val="0"/>
          <w:numId w:val="7"/>
        </w:numPr>
        <w:spacing w:after="120"/>
        <w:rPr>
          <w:rStyle w:val="bodyChar"/>
        </w:rPr>
      </w:pPr>
      <w:r>
        <w:rPr>
          <w:rStyle w:val="bodyChar"/>
          <w:b/>
        </w:rPr>
        <w:t>Staff training</w:t>
      </w:r>
      <w:r>
        <w:rPr>
          <w:rStyle w:val="bodyChar"/>
        </w:rPr>
        <w:t>—</w:t>
      </w:r>
      <w:r w:rsidR="0009779B">
        <w:rPr>
          <w:rStyle w:val="bodyChar"/>
        </w:rPr>
        <w:t xml:space="preserve">Even if your staff is well-prepared to work with children, they may not </w:t>
      </w:r>
      <w:r w:rsidR="003B4160">
        <w:rPr>
          <w:rStyle w:val="bodyChar"/>
        </w:rPr>
        <w:t xml:space="preserve">be </w:t>
      </w:r>
      <w:r w:rsidR="00D02966">
        <w:rPr>
          <w:rStyle w:val="bodyChar"/>
        </w:rPr>
        <w:t xml:space="preserve">adequately trained to identify and avoid potential risks associated with </w:t>
      </w:r>
      <w:r w:rsidR="00945F78">
        <w:rPr>
          <w:rStyle w:val="bodyChar"/>
        </w:rPr>
        <w:t>recreational</w:t>
      </w:r>
      <w:r w:rsidR="0009779B">
        <w:rPr>
          <w:rStyle w:val="bodyChar"/>
        </w:rPr>
        <w:t xml:space="preserve"> </w:t>
      </w:r>
      <w:r w:rsidR="00D02966">
        <w:rPr>
          <w:rStyle w:val="bodyChar"/>
        </w:rPr>
        <w:t>activities.</w:t>
      </w:r>
      <w:r w:rsidR="0009779B">
        <w:rPr>
          <w:rStyle w:val="bodyChar"/>
        </w:rPr>
        <w:t xml:space="preserve"> </w:t>
      </w:r>
    </w:p>
    <w:p w:rsidR="00D02966" w:rsidP="007411C1" w14:paraId="52411DD2" w14:textId="173418E7">
      <w:pPr>
        <w:pStyle w:val="body"/>
        <w:numPr>
          <w:ilvl w:val="0"/>
          <w:numId w:val="7"/>
        </w:numPr>
        <w:spacing w:after="120"/>
        <w:rPr>
          <w:rStyle w:val="bodyChar"/>
        </w:rPr>
      </w:pPr>
      <w:r>
        <w:rPr>
          <w:rStyle w:val="bodyChar"/>
          <w:b/>
        </w:rPr>
        <w:t xml:space="preserve">Sports </w:t>
      </w:r>
      <w:r w:rsidR="0009779B">
        <w:rPr>
          <w:rStyle w:val="bodyChar"/>
          <w:b/>
        </w:rPr>
        <w:t>equipment</w:t>
      </w:r>
      <w:r>
        <w:rPr>
          <w:rStyle w:val="bodyChar"/>
        </w:rPr>
        <w:t>—</w:t>
      </w:r>
      <w:r w:rsidR="00B66A27">
        <w:rPr>
          <w:rStyle w:val="bodyChar"/>
        </w:rPr>
        <w:t xml:space="preserve">Sports equipment can be hazardous if it is not properly </w:t>
      </w:r>
      <w:r>
        <w:rPr>
          <w:rStyle w:val="bodyChar"/>
        </w:rPr>
        <w:t xml:space="preserve">fitted or </w:t>
      </w:r>
      <w:r w:rsidR="00B66A27">
        <w:rPr>
          <w:rStyle w:val="bodyChar"/>
        </w:rPr>
        <w:t>maintained. If children are using equipment that’s too large for them</w:t>
      </w:r>
      <w:r w:rsidR="00945F78">
        <w:rPr>
          <w:rStyle w:val="bodyChar"/>
        </w:rPr>
        <w:t>,</w:t>
      </w:r>
      <w:r w:rsidR="003E22B7">
        <w:rPr>
          <w:rStyle w:val="bodyChar"/>
        </w:rPr>
        <w:t xml:space="preserve"> </w:t>
      </w:r>
      <w:r w:rsidR="00B66A27">
        <w:rPr>
          <w:rStyle w:val="bodyChar"/>
        </w:rPr>
        <w:t xml:space="preserve">it </w:t>
      </w:r>
      <w:r w:rsidR="003E22B7">
        <w:rPr>
          <w:rStyle w:val="bodyChar"/>
        </w:rPr>
        <w:t xml:space="preserve">may </w:t>
      </w:r>
      <w:r w:rsidR="00B66A27">
        <w:rPr>
          <w:rStyle w:val="bodyChar"/>
        </w:rPr>
        <w:t>result in injury.</w:t>
      </w:r>
      <w:r>
        <w:rPr>
          <w:rStyle w:val="bodyChar"/>
        </w:rPr>
        <w:t xml:space="preserve"> </w:t>
      </w:r>
      <w:r w:rsidR="00945F78">
        <w:rPr>
          <w:rStyle w:val="bodyChar"/>
        </w:rPr>
        <w:t>E</w:t>
      </w:r>
      <w:r>
        <w:rPr>
          <w:rStyle w:val="bodyChar"/>
        </w:rPr>
        <w:t xml:space="preserve">quipment </w:t>
      </w:r>
      <w:r w:rsidR="00945F78">
        <w:rPr>
          <w:rStyle w:val="bodyChar"/>
        </w:rPr>
        <w:t xml:space="preserve">should be </w:t>
      </w:r>
      <w:r>
        <w:rPr>
          <w:rStyle w:val="bodyChar"/>
        </w:rPr>
        <w:t>inspected regularly</w:t>
      </w:r>
      <w:r w:rsidR="00945F78">
        <w:rPr>
          <w:rStyle w:val="bodyChar"/>
        </w:rPr>
        <w:t xml:space="preserve"> to determine whether it’s</w:t>
      </w:r>
      <w:r>
        <w:rPr>
          <w:rStyle w:val="bodyChar"/>
        </w:rPr>
        <w:t xml:space="preserve"> suitable for use.</w:t>
      </w:r>
      <w:r w:rsidR="00B66A27">
        <w:rPr>
          <w:rStyle w:val="bodyChar"/>
        </w:rPr>
        <w:t xml:space="preserve"> </w:t>
      </w:r>
    </w:p>
    <w:p w:rsidR="005D7BA5" w:rsidP="005D7BA5" w14:paraId="6E3A277B" w14:textId="0575F39B">
      <w:pPr>
        <w:pStyle w:val="body"/>
        <w:numPr>
          <w:ilvl w:val="0"/>
          <w:numId w:val="7"/>
        </w:numPr>
        <w:spacing w:after="120"/>
        <w:rPr>
          <w:rStyle w:val="bodyChar"/>
        </w:rPr>
      </w:pPr>
      <w:r w:rsidRPr="00AC7C01">
        <w:rPr>
          <w:rStyle w:val="bodyChar"/>
          <w:b/>
        </w:rPr>
        <w:t>Facilities</w:t>
      </w:r>
      <w:r>
        <w:rPr>
          <w:rStyle w:val="bodyChar"/>
        </w:rPr>
        <w:t>—</w:t>
      </w:r>
      <w:r w:rsidR="00E46326">
        <w:rPr>
          <w:rStyle w:val="bodyChar"/>
        </w:rPr>
        <w:t xml:space="preserve">The facilities themselves can be a risk if they’re not properly maintained. Third-party facilities, parks and playgrounds can all result in injuries if hazards are not </w:t>
      </w:r>
      <w:r w:rsidR="00AC7C01">
        <w:rPr>
          <w:rStyle w:val="bodyChar"/>
        </w:rPr>
        <w:t xml:space="preserve">identified and </w:t>
      </w:r>
      <w:r w:rsidR="00E46326">
        <w:rPr>
          <w:rStyle w:val="bodyChar"/>
        </w:rPr>
        <w:t>addressed properly in a timely manner.</w:t>
      </w:r>
      <w:r w:rsidR="00AC7C01">
        <w:rPr>
          <w:rStyle w:val="bodyChar"/>
        </w:rPr>
        <w:t xml:space="preserve"> Facilities should be vetted prior to using them for activity locations.</w:t>
      </w:r>
      <w:r w:rsidR="00E46326">
        <w:rPr>
          <w:rStyle w:val="bodyChar"/>
        </w:rPr>
        <w:t xml:space="preserve"> </w:t>
      </w:r>
    </w:p>
    <w:p w:rsidR="003515F6" w:rsidP="005D7BA5" w14:paraId="4CD4FB1D" w14:textId="756D213E">
      <w:pPr>
        <w:pStyle w:val="body"/>
        <w:numPr>
          <w:ilvl w:val="0"/>
          <w:numId w:val="7"/>
        </w:numPr>
        <w:spacing w:after="120"/>
        <w:rPr>
          <w:rStyle w:val="bodyChar"/>
        </w:rPr>
      </w:pPr>
      <w:r w:rsidRPr="00AC7C01">
        <w:rPr>
          <w:rStyle w:val="bodyChar"/>
          <w:b/>
        </w:rPr>
        <w:t>Sexual abuse</w:t>
      </w:r>
      <w:r w:rsidR="007E1972">
        <w:rPr>
          <w:rStyle w:val="bodyChar"/>
        </w:rPr>
        <w:t>—</w:t>
      </w:r>
      <w:r w:rsidR="00945F78">
        <w:rPr>
          <w:rStyle w:val="bodyChar"/>
        </w:rPr>
        <w:t>Activities like l</w:t>
      </w:r>
      <w:r w:rsidR="0083587F">
        <w:rPr>
          <w:rStyle w:val="bodyChar"/>
        </w:rPr>
        <w:t>ock-in</w:t>
      </w:r>
      <w:r w:rsidR="005D7BA5">
        <w:rPr>
          <w:rStyle w:val="bodyChar"/>
        </w:rPr>
        <w:t xml:space="preserve">s </w:t>
      </w:r>
      <w:r w:rsidR="0083587F">
        <w:rPr>
          <w:rStyle w:val="bodyChar"/>
        </w:rPr>
        <w:t xml:space="preserve">can </w:t>
      </w:r>
      <w:r w:rsidR="005D7BA5">
        <w:rPr>
          <w:rStyle w:val="bodyChar"/>
        </w:rPr>
        <w:t xml:space="preserve">lend </w:t>
      </w:r>
      <w:r w:rsidR="0083587F">
        <w:rPr>
          <w:rStyle w:val="bodyChar"/>
        </w:rPr>
        <w:t>to the risk of sexual assault</w:t>
      </w:r>
      <w:r w:rsidR="00945F78">
        <w:rPr>
          <w:rStyle w:val="bodyChar"/>
        </w:rPr>
        <w:t>, as perpetrators may take advantage of the darkness and isolation to abuse their victims.</w:t>
      </w:r>
      <w:r w:rsidR="0083587F">
        <w:rPr>
          <w:rStyle w:val="bodyChar"/>
        </w:rPr>
        <w:t xml:space="preserve"> This risk may stem from staff, volunteers or other children. </w:t>
      </w:r>
    </w:p>
    <w:p w:rsidR="00E47E63" w:rsidRPr="00126DF9" w:rsidP="00126DF9" w14:paraId="6B8FAA88" w14:textId="3F3D67DB">
      <w:pPr>
        <w:pStyle w:val="sectionheader"/>
      </w:pPr>
      <w:r>
        <w:t>Risk Mitigation</w:t>
      </w:r>
    </w:p>
    <w:p w:rsidR="007411C1" w:rsidP="007411C1" w14:paraId="5D9D7F10" w14:textId="76A14E9E">
      <w:pPr>
        <w:spacing w:after="240"/>
        <w:rPr>
          <w:color w:val="000000"/>
          <w:sz w:val="20"/>
          <w:szCs w:val="20"/>
        </w:rPr>
      </w:pPr>
      <w:r>
        <w:rPr>
          <w:color w:val="000000"/>
          <w:sz w:val="20"/>
          <w:szCs w:val="20"/>
        </w:rPr>
        <w:t>There are many risks associated with recreational programs.</w:t>
      </w:r>
      <w:r w:rsidRPr="007411C1">
        <w:rPr>
          <w:color w:val="000000"/>
          <w:sz w:val="20"/>
          <w:szCs w:val="20"/>
        </w:rPr>
        <w:t xml:space="preserve"> </w:t>
      </w:r>
      <w:r>
        <w:rPr>
          <w:color w:val="000000"/>
          <w:sz w:val="20"/>
          <w:szCs w:val="20"/>
        </w:rPr>
        <w:t xml:space="preserve">Proper risk management is necessary to control these risks and reduce the likelihood </w:t>
      </w:r>
      <w:r w:rsidR="00B11866">
        <w:rPr>
          <w:color w:val="000000"/>
          <w:sz w:val="20"/>
          <w:szCs w:val="20"/>
        </w:rPr>
        <w:t xml:space="preserve">that </w:t>
      </w:r>
      <w:r>
        <w:rPr>
          <w:color w:val="000000"/>
          <w:sz w:val="20"/>
          <w:szCs w:val="20"/>
        </w:rPr>
        <w:t>injury or harm</w:t>
      </w:r>
      <w:r w:rsidR="00B11866">
        <w:rPr>
          <w:color w:val="000000"/>
          <w:sz w:val="20"/>
          <w:szCs w:val="20"/>
        </w:rPr>
        <w:t xml:space="preserve"> will come to a child</w:t>
      </w:r>
      <w:r>
        <w:rPr>
          <w:color w:val="000000"/>
          <w:sz w:val="20"/>
          <w:szCs w:val="20"/>
        </w:rPr>
        <w:t xml:space="preserve">. Here are some </w:t>
      </w:r>
      <w:r w:rsidR="00E6133E">
        <w:rPr>
          <w:color w:val="000000"/>
          <w:sz w:val="20"/>
          <w:szCs w:val="20"/>
        </w:rPr>
        <w:t>best practices to follow</w:t>
      </w:r>
      <w:r w:rsidR="00945F78">
        <w:rPr>
          <w:color w:val="000000"/>
          <w:sz w:val="20"/>
          <w:szCs w:val="20"/>
        </w:rPr>
        <w:t>:</w:t>
      </w:r>
      <w:r w:rsidR="00E6133E">
        <w:rPr>
          <w:color w:val="000000"/>
          <w:sz w:val="20"/>
          <w:szCs w:val="20"/>
        </w:rPr>
        <w:t xml:space="preserve"> </w:t>
      </w:r>
      <w:r>
        <w:rPr>
          <w:color w:val="000000"/>
          <w:sz w:val="20"/>
          <w:szCs w:val="20"/>
        </w:rPr>
        <w:t xml:space="preserve"> </w:t>
      </w:r>
      <w:r w:rsidRPr="007411C1">
        <w:rPr>
          <w:color w:val="000000"/>
          <w:sz w:val="20"/>
          <w:szCs w:val="20"/>
        </w:rPr>
        <w:t xml:space="preserve">  </w:t>
      </w:r>
    </w:p>
    <w:p w:rsidR="00F30B26" w:rsidP="007411C1" w14:paraId="134A39C1" w14:textId="2551F06C">
      <w:pPr>
        <w:pStyle w:val="body"/>
        <w:numPr>
          <w:ilvl w:val="0"/>
          <w:numId w:val="7"/>
        </w:numPr>
        <w:spacing w:after="120"/>
        <w:rPr>
          <w:rStyle w:val="bodyChar"/>
        </w:rPr>
      </w:pPr>
      <w:r>
        <w:rPr>
          <w:rStyle w:val="bodyChar"/>
          <w:b/>
          <w:bCs/>
        </w:rPr>
        <w:t>Injury prevention</w:t>
      </w:r>
      <w:r w:rsidR="007411C1">
        <w:rPr>
          <w:rStyle w:val="bodyChar"/>
        </w:rPr>
        <w:t>—</w:t>
      </w:r>
      <w:r w:rsidR="00337FE3">
        <w:rPr>
          <w:rStyle w:val="bodyChar"/>
        </w:rPr>
        <w:t xml:space="preserve">Ensure children are only participating in activities or sports that are </w:t>
      </w:r>
      <w:r w:rsidR="00337FE3">
        <w:rPr>
          <w:rStyle w:val="bodyChar"/>
        </w:rPr>
        <w:t>appropriate for their age level.</w:t>
      </w:r>
      <w:r>
        <w:rPr>
          <w:rStyle w:val="bodyChar"/>
        </w:rPr>
        <w:t xml:space="preserve"> </w:t>
      </w:r>
      <w:r w:rsidR="00337FE3">
        <w:rPr>
          <w:rStyle w:val="bodyChar"/>
        </w:rPr>
        <w:t xml:space="preserve">Equipment should be inspected before use to </w:t>
      </w:r>
      <w:r w:rsidR="00945F78">
        <w:rPr>
          <w:rStyle w:val="bodyChar"/>
        </w:rPr>
        <w:t>en</w:t>
      </w:r>
      <w:r w:rsidR="00337FE3">
        <w:rPr>
          <w:rStyle w:val="bodyChar"/>
        </w:rPr>
        <w:t>sure it’s in good condition.</w:t>
      </w:r>
      <w:r>
        <w:rPr>
          <w:rStyle w:val="bodyChar"/>
        </w:rPr>
        <w:t xml:space="preserve"> In addition, all children should be wearing equipment that </w:t>
      </w:r>
      <w:r w:rsidR="00945F78">
        <w:rPr>
          <w:rStyle w:val="bodyChar"/>
        </w:rPr>
        <w:t xml:space="preserve">is </w:t>
      </w:r>
      <w:r>
        <w:rPr>
          <w:rStyle w:val="bodyChar"/>
        </w:rPr>
        <w:t>suitable for their size.</w:t>
      </w:r>
    </w:p>
    <w:p w:rsidR="00337FE3" w:rsidP="007A2AC5" w14:paraId="5E454ECE" w14:textId="1B2ED2E2">
      <w:pPr>
        <w:pStyle w:val="body"/>
        <w:numPr>
          <w:ilvl w:val="0"/>
          <w:numId w:val="7"/>
        </w:numPr>
        <w:spacing w:after="120"/>
        <w:rPr>
          <w:rStyle w:val="bodyChar"/>
        </w:rPr>
      </w:pPr>
      <w:r w:rsidRPr="007A2AC5">
        <w:rPr>
          <w:rStyle w:val="bulletChar"/>
          <w:b/>
        </w:rPr>
        <w:t>Injury response</w:t>
      </w:r>
      <w:r w:rsidR="00945F78">
        <w:rPr>
          <w:rStyle w:val="bulletChar"/>
        </w:rPr>
        <w:t>—Train all staff</w:t>
      </w:r>
      <w:r>
        <w:rPr>
          <w:rStyle w:val="bodyChar"/>
        </w:rPr>
        <w:t xml:space="preserve"> on emergency procedures</w:t>
      </w:r>
      <w:r w:rsidR="00945F78">
        <w:rPr>
          <w:rStyle w:val="bodyChar"/>
        </w:rPr>
        <w:t>,</w:t>
      </w:r>
      <w:r>
        <w:rPr>
          <w:rStyle w:val="bodyChar"/>
        </w:rPr>
        <w:t xml:space="preserve"> including first aid and CPR. </w:t>
      </w:r>
      <w:r w:rsidR="00E67D14">
        <w:rPr>
          <w:rStyle w:val="bodyChar"/>
        </w:rPr>
        <w:t xml:space="preserve">The religious organization should have </w:t>
      </w:r>
      <w:r>
        <w:rPr>
          <w:rStyle w:val="bodyChar"/>
        </w:rPr>
        <w:t>a response plan in place i</w:t>
      </w:r>
      <w:r w:rsidR="00945F78">
        <w:rPr>
          <w:rStyle w:val="bodyChar"/>
        </w:rPr>
        <w:t>f an injury occurs</w:t>
      </w:r>
      <w:r>
        <w:rPr>
          <w:rStyle w:val="bodyChar"/>
        </w:rPr>
        <w:t xml:space="preserve">. </w:t>
      </w:r>
      <w:r w:rsidR="00E67D14">
        <w:rPr>
          <w:rStyle w:val="bodyChar"/>
        </w:rPr>
        <w:t>Also, response plans should be reviewed and train</w:t>
      </w:r>
      <w:r w:rsidR="00945F78">
        <w:rPr>
          <w:rStyle w:val="bodyChar"/>
        </w:rPr>
        <w:t xml:space="preserve">ing provided </w:t>
      </w:r>
      <w:r w:rsidR="00E67D14">
        <w:rPr>
          <w:rStyle w:val="bodyChar"/>
        </w:rPr>
        <w:t>when new staff is hired</w:t>
      </w:r>
      <w:r w:rsidR="00945F78">
        <w:rPr>
          <w:rStyle w:val="bodyChar"/>
        </w:rPr>
        <w:t xml:space="preserve"> </w:t>
      </w:r>
      <w:r w:rsidR="00E67D14">
        <w:rPr>
          <w:rStyle w:val="bodyChar"/>
        </w:rPr>
        <w:t>annually afterward.</w:t>
      </w:r>
    </w:p>
    <w:p w:rsidR="00E67D14" w:rsidP="007411C1" w14:paraId="310297B4" w14:textId="18C38164">
      <w:pPr>
        <w:pStyle w:val="body"/>
        <w:numPr>
          <w:ilvl w:val="0"/>
          <w:numId w:val="8"/>
        </w:numPr>
        <w:spacing w:after="120"/>
      </w:pPr>
      <w:r>
        <w:rPr>
          <w:rStyle w:val="bodyChar"/>
          <w:b/>
        </w:rPr>
        <w:t>P</w:t>
      </w:r>
      <w:r w:rsidR="00956A7D">
        <w:rPr>
          <w:rStyle w:val="bodyChar"/>
          <w:b/>
        </w:rPr>
        <w:t>lanning</w:t>
      </w:r>
      <w:r w:rsidR="007411C1">
        <w:rPr>
          <w:rStyle w:val="bodyChar"/>
        </w:rPr>
        <w:t>—</w:t>
      </w:r>
      <w:r>
        <w:t>Speak with your insurance company to make sure planned activities are covered under your policy.</w:t>
      </w:r>
      <w:r>
        <w:t xml:space="preserve"> Make sure to have the proper coverage amounts in place.</w:t>
      </w:r>
      <w:r>
        <w:t xml:space="preserve"> Consult with other religious institutions about their experience with similar activities</w:t>
      </w:r>
      <w:r>
        <w:t xml:space="preserve"> and what types of coverage they have</w:t>
      </w:r>
      <w:r>
        <w:t>.</w:t>
      </w:r>
      <w:r w:rsidR="007411C1">
        <w:t xml:space="preserve"> </w:t>
      </w:r>
      <w:r>
        <w:t xml:space="preserve">Other religious organizations may participate in </w:t>
      </w:r>
      <w:r w:rsidR="00945F78">
        <w:t>recreational activities,</w:t>
      </w:r>
      <w:r>
        <w:t xml:space="preserve"> and</w:t>
      </w:r>
      <w:r w:rsidR="00945F78">
        <w:t>,</w:t>
      </w:r>
      <w:r>
        <w:t xml:space="preserve"> if so, using their procedures and policies may prove valuable to religious organizations starting to offer those </w:t>
      </w:r>
      <w:r w:rsidR="00945F78">
        <w:t xml:space="preserve">same </w:t>
      </w:r>
      <w:r>
        <w:t>activities.</w:t>
      </w:r>
    </w:p>
    <w:p w:rsidR="00956A7D" w:rsidP="007A2AC5" w14:paraId="0DBED670" w14:textId="1AEB1EBB">
      <w:pPr>
        <w:pStyle w:val="body"/>
        <w:numPr>
          <w:ilvl w:val="0"/>
          <w:numId w:val="8"/>
        </w:numPr>
        <w:spacing w:after="120"/>
      </w:pPr>
      <w:r w:rsidRPr="007A2AC5">
        <w:rPr>
          <w:b/>
        </w:rPr>
        <w:t xml:space="preserve">Release </w:t>
      </w:r>
      <w:r w:rsidR="00945F78">
        <w:rPr>
          <w:b/>
        </w:rPr>
        <w:t>f</w:t>
      </w:r>
      <w:r w:rsidRPr="007A2AC5">
        <w:rPr>
          <w:b/>
        </w:rPr>
        <w:t>orms</w:t>
      </w:r>
      <w:r w:rsidR="00945F78">
        <w:t>—</w:t>
      </w:r>
      <w:r w:rsidRPr="00956A7D">
        <w:t xml:space="preserve">Prior to participation </w:t>
      </w:r>
      <w:r>
        <w:t>in any recreational sports or lock-ins</w:t>
      </w:r>
      <w:r w:rsidR="00945F78">
        <w:t>,</w:t>
      </w:r>
      <w:r>
        <w:t xml:space="preserve"> </w:t>
      </w:r>
      <w:r w:rsidRPr="00956A7D">
        <w:t xml:space="preserve">all guardians should sign a liability release form. </w:t>
      </w:r>
      <w:r>
        <w:t xml:space="preserve">A </w:t>
      </w:r>
      <w:r w:rsidR="00B73112">
        <w:t>separate release</w:t>
      </w:r>
      <w:r w:rsidRPr="00956A7D">
        <w:t xml:space="preserve"> form</w:t>
      </w:r>
      <w:r>
        <w:t xml:space="preserve"> </w:t>
      </w:r>
      <w:r w:rsidR="00B73112">
        <w:t>should</w:t>
      </w:r>
      <w:r>
        <w:t xml:space="preserve"> be used for each activity</w:t>
      </w:r>
      <w:r w:rsidR="00B73112">
        <w:t>. Every release form should</w:t>
      </w:r>
      <w:r>
        <w:t xml:space="preserve"> ou</w:t>
      </w:r>
      <w:r w:rsidRPr="00956A7D">
        <w:t>tline</w:t>
      </w:r>
      <w:r>
        <w:t xml:space="preserve"> </w:t>
      </w:r>
      <w:r w:rsidRPr="00956A7D">
        <w:t xml:space="preserve">possible risks associated with </w:t>
      </w:r>
      <w:r w:rsidR="00B73112">
        <w:t>the</w:t>
      </w:r>
      <w:r>
        <w:t xml:space="preserve"> activity</w:t>
      </w:r>
      <w:r w:rsidR="00B73112">
        <w:t xml:space="preserve"> it is for</w:t>
      </w:r>
      <w:r>
        <w:t xml:space="preserve"> </w:t>
      </w:r>
      <w:r w:rsidRPr="00956A7D">
        <w:t>and release the organization from liability.</w:t>
      </w:r>
      <w:r w:rsidR="00B73112">
        <w:t xml:space="preserve"> In addition, the form should have a section for the child</w:t>
      </w:r>
      <w:r w:rsidR="00945F78">
        <w:t>’s</w:t>
      </w:r>
      <w:r w:rsidR="00B73112">
        <w:t xml:space="preserve"> and guardian</w:t>
      </w:r>
      <w:r w:rsidR="00945F78">
        <w:t>’</w:t>
      </w:r>
      <w:r w:rsidR="00B73112">
        <w:t xml:space="preserve">s contact information and </w:t>
      </w:r>
      <w:r w:rsidR="00945F78">
        <w:t xml:space="preserve">a </w:t>
      </w:r>
      <w:r w:rsidR="00B73112">
        <w:t>signature line for consent.</w:t>
      </w:r>
    </w:p>
    <w:p w:rsidR="00C24325" w:rsidP="007411C1" w14:paraId="6B1E6A3F" w14:textId="1DE4D368">
      <w:pPr>
        <w:pStyle w:val="body"/>
        <w:numPr>
          <w:ilvl w:val="0"/>
          <w:numId w:val="8"/>
        </w:numPr>
        <w:spacing w:after="120"/>
      </w:pPr>
      <w:r>
        <w:rPr>
          <w:rStyle w:val="bodyChar"/>
          <w:b/>
        </w:rPr>
        <w:t>Premises</w:t>
      </w:r>
      <w:r w:rsidR="00956A7D">
        <w:rPr>
          <w:rStyle w:val="bodyChar"/>
        </w:rPr>
        <w:t>—</w:t>
      </w:r>
      <w:r w:rsidR="00B1790E">
        <w:rPr>
          <w:rStyle w:val="bodyChar"/>
        </w:rPr>
        <w:t xml:space="preserve">Research third-party facilities before partnering for activities. All staff should be </w:t>
      </w:r>
      <w:r w:rsidR="003A5B6F">
        <w:rPr>
          <w:rStyle w:val="bodyChar"/>
        </w:rPr>
        <w:t xml:space="preserve">properly trained </w:t>
      </w:r>
      <w:r w:rsidR="00945F78">
        <w:rPr>
          <w:rStyle w:val="bodyChar"/>
        </w:rPr>
        <w:t xml:space="preserve">on </w:t>
      </w:r>
      <w:r w:rsidR="003A5B6F">
        <w:rPr>
          <w:rStyle w:val="bodyChar"/>
        </w:rPr>
        <w:t>the activit</w:t>
      </w:r>
      <w:r w:rsidR="00945F78">
        <w:rPr>
          <w:rStyle w:val="bodyChar"/>
        </w:rPr>
        <w:t>y</w:t>
      </w:r>
      <w:r w:rsidR="00B73112">
        <w:rPr>
          <w:rStyle w:val="bodyChar"/>
        </w:rPr>
        <w:t xml:space="preserve"> and emergency response. Religious organizations should o</w:t>
      </w:r>
      <w:r w:rsidR="003A5B6F">
        <w:rPr>
          <w:rStyle w:val="bodyChar"/>
        </w:rPr>
        <w:t xml:space="preserve">nly use third-party facilities with a good reputation. </w:t>
      </w:r>
      <w:r w:rsidR="00B73112">
        <w:rPr>
          <w:rStyle w:val="bodyChar"/>
        </w:rPr>
        <w:t xml:space="preserve">Again, consult other organizations to see who they use and what the pros and cons are for those facilities. </w:t>
      </w:r>
    </w:p>
    <w:p w:rsidR="00F37C03" w:rsidP="007411C1" w14:paraId="2F50A787" w14:textId="7D6D1C98">
      <w:pPr>
        <w:pStyle w:val="body"/>
        <w:numPr>
          <w:ilvl w:val="0"/>
          <w:numId w:val="8"/>
        </w:numPr>
        <w:spacing w:after="120"/>
      </w:pPr>
      <w:r>
        <w:rPr>
          <w:rStyle w:val="bodyChar"/>
          <w:b/>
        </w:rPr>
        <w:t>Sexual abuse prevention</w:t>
      </w:r>
      <w:r w:rsidR="007411C1">
        <w:rPr>
          <w:rStyle w:val="bodyChar"/>
        </w:rPr>
        <w:t>—</w:t>
      </w:r>
      <w:r>
        <w:t>Screen</w:t>
      </w:r>
      <w:r w:rsidR="007411C1">
        <w:t xml:space="preserve"> </w:t>
      </w:r>
      <w:r>
        <w:t>new volunteers and staff. Require applications, interviews and references from all candidates. Perform background checks, including criminal background checks</w:t>
      </w:r>
      <w:r w:rsidR="000673DB">
        <w:t xml:space="preserve">. Implement a mandatory six-month waiting period before staff </w:t>
      </w:r>
      <w:r w:rsidR="00EE0215">
        <w:t xml:space="preserve">is allowed to interact with children. This will give </w:t>
      </w:r>
      <w:r w:rsidR="00F57D80">
        <w:t xml:space="preserve">you </w:t>
      </w:r>
      <w:r w:rsidR="00EE0215">
        <w:t>a chance to monitor them for inappropriate behavior</w:t>
      </w:r>
      <w:r w:rsidR="00F57D80">
        <w:t>s</w:t>
      </w:r>
      <w:r w:rsidR="00EE0215">
        <w:t xml:space="preserve">.  </w:t>
      </w:r>
    </w:p>
    <w:p w:rsidR="007411C1" w:rsidP="00EE0215" w14:paraId="793554D3" w14:textId="2FEF6B29">
      <w:pPr>
        <w:pStyle w:val="body"/>
        <w:spacing w:after="120"/>
        <w:ind w:left="720"/>
      </w:pPr>
      <w:r>
        <w:t>Make sure there is adequate supervision at events.</w:t>
      </w:r>
      <w:r w:rsidR="00BD61A1">
        <w:t xml:space="preserve"> There should be at least two adults monitoring the children at all time</w:t>
      </w:r>
      <w:r w:rsidR="00945F78">
        <w:t>s</w:t>
      </w:r>
      <w:r w:rsidR="00BD61A1">
        <w:t>.</w:t>
      </w:r>
      <w:r w:rsidR="00F57D80">
        <w:t xml:space="preserve"> If there are several children, make sure to have enough supervision for all </w:t>
      </w:r>
      <w:r w:rsidR="00945F78">
        <w:t>of them</w:t>
      </w:r>
      <w:r w:rsidR="00F57D80">
        <w:t>.</w:t>
      </w:r>
      <w:r>
        <w:t xml:space="preserve"> Restrict areas </w:t>
      </w:r>
      <w:r w:rsidR="004C7C93">
        <w:t xml:space="preserve">that are hard to monitor. </w:t>
      </w:r>
      <w:r w:rsidR="00BD61A1">
        <w:t xml:space="preserve">Roll call is a helpful way to keep track of children and make sure nobody has become isolated from the group. </w:t>
      </w:r>
      <w:r w:rsidR="00CB699B">
        <w:t xml:space="preserve"> </w:t>
      </w:r>
    </w:p>
    <w:p w:rsidR="004D0F79" w:rsidP="00CA5E04" w14:paraId="150B24F8" w14:textId="47B860CE">
      <w:pPr>
        <w:pStyle w:val="body"/>
        <w:spacing w:after="120"/>
        <w:ind w:left="720"/>
      </w:pPr>
      <w:r>
        <w:t xml:space="preserve">There is an additional risk that </w:t>
      </w:r>
      <w:r w:rsidR="00945F78">
        <w:t>other youths may perpetuate sexual abuse</w:t>
      </w:r>
      <w:r>
        <w:t xml:space="preserve">. Gender segregation at lock-ins can help reduce this risk. It </w:t>
      </w:r>
      <w:r w:rsidR="00EE2ED0">
        <w:t>can a</w:t>
      </w:r>
      <w:r>
        <w:t xml:space="preserve">lso </w:t>
      </w:r>
      <w:r w:rsidR="00EE2ED0">
        <w:t xml:space="preserve">be </w:t>
      </w:r>
      <w:r>
        <w:t xml:space="preserve">beneficial to segregate children by age so there isn’t a </w:t>
      </w:r>
      <w:r w:rsidR="00945F78">
        <w:t xml:space="preserve">significant </w:t>
      </w:r>
      <w:r>
        <w:t xml:space="preserve">power imbalance between older and younger children of the same gender. </w:t>
      </w:r>
    </w:p>
    <w:p w:rsidR="0022006A" w:rsidRPr="00C650A9" w:rsidP="00E8049A" w14:paraId="459B4D9C" w14:textId="0766A6B1">
      <w:pPr>
        <w:spacing w:after="240"/>
        <w:rPr>
          <w:rStyle w:val="bodyChar"/>
        </w:rPr>
      </w:pPr>
      <w:r>
        <w:rPr>
          <w:color w:val="000000"/>
          <w:sz w:val="20"/>
          <w:szCs w:val="20"/>
        </w:rPr>
        <w:t xml:space="preserve">Recreational activities such as lock-ins and </w:t>
      </w:r>
      <w:r w:rsidR="00F57D80">
        <w:rPr>
          <w:color w:val="000000"/>
          <w:sz w:val="20"/>
          <w:szCs w:val="20"/>
        </w:rPr>
        <w:t xml:space="preserve">recreational </w:t>
      </w:r>
      <w:r>
        <w:rPr>
          <w:color w:val="000000"/>
          <w:sz w:val="20"/>
          <w:szCs w:val="20"/>
        </w:rPr>
        <w:t xml:space="preserve">sports are becoming </w:t>
      </w:r>
      <w:r w:rsidR="007E070C">
        <w:rPr>
          <w:color w:val="000000"/>
          <w:sz w:val="20"/>
          <w:szCs w:val="20"/>
        </w:rPr>
        <w:t xml:space="preserve">popular </w:t>
      </w:r>
      <w:r>
        <w:rPr>
          <w:color w:val="000000"/>
          <w:sz w:val="20"/>
          <w:szCs w:val="20"/>
        </w:rPr>
        <w:t xml:space="preserve">at religious </w:t>
      </w:r>
      <w:r w:rsidR="00F57D80">
        <w:rPr>
          <w:color w:val="000000"/>
          <w:sz w:val="20"/>
          <w:szCs w:val="20"/>
        </w:rPr>
        <w:t>organizations</w:t>
      </w:r>
      <w:r>
        <w:rPr>
          <w:color w:val="000000"/>
          <w:sz w:val="20"/>
          <w:szCs w:val="20"/>
        </w:rPr>
        <w:t xml:space="preserve">. </w:t>
      </w:r>
      <w:r w:rsidR="00007BAD">
        <w:rPr>
          <w:color w:val="000000"/>
          <w:sz w:val="20"/>
          <w:szCs w:val="20"/>
        </w:rPr>
        <w:t>Proper risk management can help reduce the likelihood of child injury or harm while maintain</w:t>
      </w:r>
      <w:r w:rsidR="00F57D80">
        <w:rPr>
          <w:color w:val="000000"/>
          <w:sz w:val="20"/>
          <w:szCs w:val="20"/>
        </w:rPr>
        <w:t>ing</w:t>
      </w:r>
      <w:r w:rsidR="00007BAD">
        <w:rPr>
          <w:color w:val="000000"/>
          <w:sz w:val="20"/>
          <w:szCs w:val="20"/>
        </w:rPr>
        <w:t xml:space="preserve"> the </w:t>
      </w:r>
      <w:r w:rsidR="00A6162C">
        <w:rPr>
          <w:color w:val="000000"/>
          <w:sz w:val="20"/>
          <w:szCs w:val="20"/>
        </w:rPr>
        <w:t>benefits of</w:t>
      </w:r>
      <w:r>
        <w:rPr>
          <w:color w:val="000000"/>
          <w:sz w:val="20"/>
          <w:szCs w:val="20"/>
        </w:rPr>
        <w:t xml:space="preserve"> community building and youth engagement </w:t>
      </w:r>
      <w:r w:rsidR="00007BAD">
        <w:rPr>
          <w:color w:val="000000"/>
          <w:sz w:val="20"/>
          <w:szCs w:val="20"/>
        </w:rPr>
        <w:t xml:space="preserve">associated with these </w:t>
      </w:r>
      <w:r w:rsidR="000F4F9D">
        <w:rPr>
          <w:color w:val="000000"/>
          <w:sz w:val="20"/>
          <w:szCs w:val="20"/>
        </w:rPr>
        <w:t>activities</w:t>
      </w:r>
      <w:r>
        <w:rPr>
          <w:color w:val="000000"/>
          <w:sz w:val="20"/>
          <w:szCs w:val="20"/>
        </w:rPr>
        <w:t>.</w:t>
      </w:r>
      <w:r w:rsidRPr="007411C1" w:rsidR="007411C1">
        <w:rPr>
          <w:color w:val="000000"/>
          <w:sz w:val="20"/>
          <w:szCs w:val="20"/>
        </w:rPr>
        <w:t xml:space="preserve"> For more information on how to manage risk at your religious organization, contact </w:t>
      </w:r>
      <w:r w:rsidRPr="007411C1" w:rsidR="007411C1">
        <w:rPr>
          <w:color w:val="000000"/>
          <w:sz w:val="20"/>
          <w:szCs w:val="20"/>
        </w:rPr>
        <w:t>Mike Russell &amp; Associates, Inc.</w:t>
      </w:r>
      <w:r w:rsidRPr="007411C1" w:rsidR="007411C1">
        <w:rPr>
          <w:color w:val="000000"/>
          <w:sz w:val="20"/>
          <w:szCs w:val="20"/>
        </w:rPr>
        <w:t xml:space="preserve"> today.</w:t>
      </w:r>
    </w:p>
    <w:sectPr w:rsidSect="00AC6C6F">
      <w:headerReference w:type="default" r:id="rId9"/>
      <w:headerReference w:type="first" r:id="rId10"/>
      <w:footerReference w:type="first" r:id="rId11"/>
      <w:type w:val="continuous"/>
      <w:pgSz w:w="12240" w:h="15840"/>
      <w:pgMar w:top="1656" w:right="1080" w:bottom="2304" w:left="1080" w:header="720" w:footer="720" w:gutter="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1B8" w:rsidP="006E360E" w14:paraId="724FBCB7" w14:textId="77777777">
    <w:pPr>
      <w:pStyle w:val="Footer"/>
      <w:spacing w:before="120" w:after="240"/>
      <w:rPr>
        <w:color w:val="80808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11430</wp:posOffset>
              </wp:positionV>
              <wp:extent cx="6400800" cy="0"/>
              <wp:effectExtent l="8890" t="8255" r="10160" b="10795"/>
              <wp:wrapNone/>
              <wp:docPr id="1" name="AutoShap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straightConnector1">
                        <a:avLst/>
                      </a:prstGeom>
                      <a:noFill/>
                      <a:ln w="3175">
                        <a:solidFill>
                          <a:srgbClr val="7F7F7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2050" type="#_x0000_t32" style="width:7in;height:0;margin-top:0.9pt;margin-left:0.7pt;mso-height-percent:0;mso-height-relative:page;mso-width-percent:0;mso-width-relative:page;mso-wrap-distance-bottom:0;mso-wrap-distance-left:9pt;mso-wrap-distance-right:9pt;mso-wrap-distance-top:0;mso-wrap-style:square;position:absolute;visibility:visible;z-index:251659264" strokecolor="#7f7f7f" strokeweight="0.25pt"/>
          </w:pict>
        </mc:Fallback>
      </mc:AlternateContent>
    </w:r>
    <w:r>
      <w:rPr>
        <w:color w:val="808080"/>
        <w:sz w:val="24"/>
        <w:szCs w:val="24"/>
      </w:rPr>
      <w:t xml:space="preserve">Provided by </w:t>
    </w:r>
    <w:r>
      <w:rPr>
        <w:color w:val="808080"/>
        <w:sz w:val="24"/>
        <w:szCs w:val="24"/>
      </w:rPr>
      <w:t>Mike Russell &amp; Associates, Inc.</w:t>
    </w:r>
  </w:p>
  <w:p w:rsidR="001471B8" w:rsidP="001471B8" w14:paraId="78079DB5" w14:textId="77777777">
    <w:pPr>
      <w:rPr>
        <w:color w:val="808080"/>
        <w:sz w:val="12"/>
        <w:szCs w:val="16"/>
      </w:rPr>
    </w:pPr>
    <w:r>
      <w:rPr>
        <w:color w:val="808080"/>
        <w:sz w:val="12"/>
        <w:szCs w:val="16"/>
      </w:rPr>
      <w:t>This Risk Insights is not intended to be exhaustive nor should any discussion or opinions be construed as legal advice. Readers should contact legal counsel or an insurance professiona</w:t>
    </w:r>
    <w:r w:rsidR="00DE6148">
      <w:rPr>
        <w:color w:val="808080"/>
        <w:sz w:val="12"/>
        <w:szCs w:val="16"/>
      </w:rPr>
      <w:t xml:space="preserve">l for appropriate advice. © </w:t>
    </w:r>
    <w:r w:rsidR="00AE3E9A">
      <w:rPr>
        <w:color w:val="808080"/>
        <w:sz w:val="12"/>
        <w:szCs w:val="16"/>
      </w:rPr>
      <w:t>2022</w:t>
    </w:r>
    <w:r w:rsidR="0030163B">
      <w:rPr>
        <w:color w:val="808080"/>
        <w:sz w:val="12"/>
        <w:szCs w:val="16"/>
      </w:rPr>
      <w:t xml:space="preserve"> </w:t>
    </w:r>
    <w:r>
      <w:rPr>
        <w:color w:val="808080"/>
        <w:sz w:val="12"/>
        <w:szCs w:val="16"/>
      </w:rPr>
      <w:t>Zywave,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6B9" w:rsidP="00634B52" w14:paraId="4B6903E0" w14:textId="77777777">
    <w:pPr>
      <w:pStyle w:val="Footer"/>
      <w:spacing w:before="120" w:after="240"/>
      <w:rPr>
        <w:color w:val="80808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11430</wp:posOffset>
              </wp:positionV>
              <wp:extent cx="6400800" cy="0"/>
              <wp:effectExtent l="8890" t="8255" r="10160" b="10795"/>
              <wp:wrapNone/>
              <wp:docPr id="5" name="AutoShap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straightConnector1">
                        <a:avLst/>
                      </a:prstGeom>
                      <a:noFill/>
                      <a:ln w="3175">
                        <a:solidFill>
                          <a:srgbClr val="7F7F7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2052" type="#_x0000_t32" style="width:7in;height:0;margin-top:0.9pt;margin-left:0.7pt;mso-height-percent:0;mso-height-relative:page;mso-width-percent:0;mso-width-relative:page;mso-wrap-distance-bottom:0;mso-wrap-distance-left:9pt;mso-wrap-distance-right:9pt;mso-wrap-distance-top:0;mso-wrap-style:square;position:absolute;visibility:visible;z-index:251661312" strokecolor="#7f7f7f" strokeweight="0.25pt"/>
          </w:pict>
        </mc:Fallback>
      </mc:AlternateContent>
    </w:r>
    <w:r>
      <w:rPr>
        <w:color w:val="808080"/>
        <w:sz w:val="24"/>
        <w:szCs w:val="24"/>
      </w:rPr>
      <w:t xml:space="preserve">Provided by </w:t>
    </w:r>
    <w:r>
      <w:rPr>
        <w:color w:val="808080"/>
        <w:sz w:val="24"/>
        <w:szCs w:val="24"/>
      </w:rPr>
      <w:t>Mike Russell &amp; Associates, Inc.</w:t>
    </w:r>
  </w:p>
  <w:p w:rsidR="00CB06B9" w:rsidP="00CB06B9" w14:paraId="16C69566" w14:textId="77777777">
    <w:pPr>
      <w:rPr>
        <w:color w:val="808080"/>
        <w:sz w:val="12"/>
        <w:szCs w:val="16"/>
      </w:rPr>
    </w:pPr>
    <w:r>
      <w:rPr>
        <w:color w:val="808080"/>
        <w:sz w:val="12"/>
        <w:szCs w:val="16"/>
      </w:rPr>
      <w:t>This Risk Insights is not intended to be exhaustive nor should any discussion or opinions be construed as legal advice. Readers should contact legal counsel or an insurance professional for appropriate advice. © 2021 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49A" w:rsidRPr="009B4062" w:rsidP="00DA7812" w14:paraId="440A8486" w14:textId="77777777">
    <w:pPr>
      <w:pStyle w:val="page2title"/>
      <w:spacing w:before="120"/>
    </w:pPr>
    <w:r>
      <w:drawing>
        <wp:anchor distT="0" distB="0" distL="114300" distR="114300" simplePos="0" relativeHeight="251661312" behindDoc="1" locked="0" layoutInCell="1" allowOverlap="1">
          <wp:simplePos x="0" y="0"/>
          <wp:positionH relativeFrom="page">
            <wp:align>left</wp:align>
          </wp:positionH>
          <wp:positionV relativeFrom="paragraph">
            <wp:posOffset>-464312</wp:posOffset>
          </wp:positionV>
          <wp:extent cx="7781544" cy="10058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 descr="Manufacturi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1544" cy="1005840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373380</wp:posOffset>
              </wp:positionV>
              <wp:extent cx="6400800" cy="0"/>
              <wp:effectExtent l="5080" t="11430" r="13970" b="7620"/>
              <wp:wrapNone/>
              <wp:docPr id="2" name="AutoShap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straightConnector1">
                        <a:avLst/>
                      </a:prstGeom>
                      <a:noFill/>
                      <a:ln w="3175">
                        <a:solidFill>
                          <a:srgbClr val="7F7F7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49" type="#_x0000_t32" style="width:7in;height:0;margin-top:29.4pt;margin-left:1.15pt;mso-height-percent:0;mso-height-relative:page;mso-width-percent:0;mso-width-relative:page;mso-wrap-distance-bottom:0;mso-wrap-distance-left:9pt;mso-wrap-distance-right:9pt;mso-wrap-distance-top:0;mso-wrap-style:square;position:absolute;visibility:visible;z-index:251659264" strokecolor="#7f7f7f" strokeweight="0.25pt"/>
          </w:pict>
        </mc:Fallback>
      </mc:AlternateContent>
    </w:r>
    <w:r w:rsidRPr="009B4062">
      <w:t>This Title Can Be One 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D1A" w14:paraId="0329D0A0" w14:textId="77777777">
    <w:pPr>
      <w:pStyle w:val="Header"/>
    </w:pP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-456692</wp:posOffset>
          </wp:positionV>
          <wp:extent cx="7772400" cy="1005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Manufacturi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049A" w:rsidRPr="009B4062" w:rsidP="00D8454E" w14:paraId="69CCB895" w14:textId="36D0F1FE">
    <w:pPr>
      <w:pStyle w:val="page2title"/>
      <w:spacing w:before="120"/>
    </w:pPr>
    <w:r>
      <w:drawing>
        <wp:anchor distT="0" distB="0" distL="114300" distR="114300" simplePos="0" relativeHeight="251665408" behindDoc="1" locked="0" layoutInCell="1" allowOverlap="1">
          <wp:simplePos x="0" y="0"/>
          <wp:positionH relativeFrom="column">
            <wp:posOffset>-679450</wp:posOffset>
          </wp:positionH>
          <wp:positionV relativeFrom="paragraph">
            <wp:posOffset>4589780</wp:posOffset>
          </wp:positionV>
          <wp:extent cx="7778115" cy="5023485"/>
          <wp:effectExtent l="0" t="0" r="0" b="0"/>
          <wp:wrapNone/>
          <wp:docPr id="6" name="Picture 6" desc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descr="Gener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8115" cy="502348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373380</wp:posOffset>
              </wp:positionV>
              <wp:extent cx="6400800" cy="0"/>
              <wp:effectExtent l="5080" t="11430" r="13970" b="7620"/>
              <wp:wrapNone/>
              <wp:docPr id="4" name="AutoShap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straightConnector1">
                        <a:avLst/>
                      </a:prstGeom>
                      <a:noFill/>
                      <a:ln w="3175">
                        <a:solidFill>
                          <a:srgbClr val="7F7F7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51" type="#_x0000_t32" style="width:7in;height:0;margin-top:29.4pt;margin-left:1.15pt;mso-height-percent:0;mso-height-relative:page;mso-width-percent:0;mso-width-relative:page;mso-wrap-distance-bottom:0;mso-wrap-distance-left:9pt;mso-wrap-distance-right:9pt;mso-wrap-distance-top:0;mso-wrap-style:square;position:absolute;visibility:visible;z-index:251663360" strokecolor="#7f7f7f" strokeweight="0.25pt"/>
          </w:pict>
        </mc:Fallback>
      </mc:AlternateContent>
    </w:r>
    <w:r w:rsidRPr="00D8454E" w:rsidR="00D8454E">
      <w:t xml:space="preserve"> </w:t>
    </w:r>
    <w:r w:rsidRPr="00921D4C" w:rsidR="00921D4C">
      <w:t>Recreational Program Risk</w:t>
    </w:r>
    <w:r w:rsidR="00F57D80">
      <w:t>s</w:t>
    </w:r>
    <w:r w:rsidRPr="00921D4C" w:rsidR="00921D4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D1A" w14:paraId="2EB45BD3" w14:textId="77777777">
    <w:pPr>
      <w:pStyle w:val="Header"/>
    </w:pPr>
    <w:r>
      <w:rPr>
        <w:noProof/>
      </w:rPr>
      <w:drawing>
        <wp:anchor distT="0" distB="0" distL="114300" distR="114300" simplePos="0" relativeHeight="251664384" behindDoc="1" locked="0" layoutInCell="1" allowOverlap="1">
          <wp:simplePos x="0" y="0"/>
          <wp:positionH relativeFrom="column">
            <wp:posOffset>-676910</wp:posOffset>
          </wp:positionH>
          <wp:positionV relativeFrom="paragraph">
            <wp:posOffset>-457200</wp:posOffset>
          </wp:positionV>
          <wp:extent cx="7772400" cy="5066665"/>
          <wp:effectExtent l="0" t="0" r="0" b="0"/>
          <wp:wrapNone/>
          <wp:docPr id="7" name="Picture 7" descr="Risk Insight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descr="Risk Insight Heade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506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2026C"/>
    <w:multiLevelType w:val="hybridMultilevel"/>
    <w:tmpl w:val="B6DEEAB6"/>
    <w:lvl w:ilvl="0">
      <w:start w:val="1"/>
      <w:numFmt w:val="bullet"/>
      <w:pStyle w:val="sub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A46D9A"/>
    <w:multiLevelType w:val="hybridMultilevel"/>
    <w:tmpl w:val="3B78CE92"/>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F76DF3"/>
    <w:multiLevelType w:val="hybridMultilevel"/>
    <w:tmpl w:val="8E76B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6B4FCC"/>
    <w:multiLevelType w:val="hybridMultilevel"/>
    <w:tmpl w:val="041E35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0A637D"/>
    <w:multiLevelType w:val="hybridMultilevel"/>
    <w:tmpl w:val="1CAA1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1F712F"/>
    <w:multiLevelType w:val="hybridMultilevel"/>
    <w:tmpl w:val="CD98F4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0042C9"/>
    <w:multiLevelType w:val="hybridMultilevel"/>
    <w:tmpl w:val="78BC49DE"/>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8F4679"/>
    <w:multiLevelType w:val="hybridMultilevel"/>
    <w:tmpl w:val="90569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1D1A53"/>
    <w:multiLevelType w:val="hybridMultilevel"/>
    <w:tmpl w:val="431C1D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8"/>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4E"/>
    <w:rsid w:val="000003E0"/>
    <w:rsid w:val="00003C43"/>
    <w:rsid w:val="000057E8"/>
    <w:rsid w:val="00007BAD"/>
    <w:rsid w:val="00012C04"/>
    <w:rsid w:val="00044BEB"/>
    <w:rsid w:val="000673DB"/>
    <w:rsid w:val="00074A30"/>
    <w:rsid w:val="0008069A"/>
    <w:rsid w:val="00081893"/>
    <w:rsid w:val="00084F7C"/>
    <w:rsid w:val="0009779B"/>
    <w:rsid w:val="000A49B2"/>
    <w:rsid w:val="000B2C4E"/>
    <w:rsid w:val="000C0547"/>
    <w:rsid w:val="000F4F9D"/>
    <w:rsid w:val="00111B02"/>
    <w:rsid w:val="00126DF9"/>
    <w:rsid w:val="00130761"/>
    <w:rsid w:val="00144733"/>
    <w:rsid w:val="001471B8"/>
    <w:rsid w:val="001546D3"/>
    <w:rsid w:val="001A0B49"/>
    <w:rsid w:val="001E56C8"/>
    <w:rsid w:val="001F267B"/>
    <w:rsid w:val="0022006A"/>
    <w:rsid w:val="0029209F"/>
    <w:rsid w:val="002D4FFC"/>
    <w:rsid w:val="002D644A"/>
    <w:rsid w:val="002E65E9"/>
    <w:rsid w:val="002F782F"/>
    <w:rsid w:val="0030163B"/>
    <w:rsid w:val="003066D2"/>
    <w:rsid w:val="00337FE3"/>
    <w:rsid w:val="00350BA3"/>
    <w:rsid w:val="003515F6"/>
    <w:rsid w:val="003A0DEC"/>
    <w:rsid w:val="003A565F"/>
    <w:rsid w:val="003A5B6F"/>
    <w:rsid w:val="003B4160"/>
    <w:rsid w:val="003E22B7"/>
    <w:rsid w:val="003E3FDF"/>
    <w:rsid w:val="003F716B"/>
    <w:rsid w:val="00412CAD"/>
    <w:rsid w:val="00420961"/>
    <w:rsid w:val="004259EF"/>
    <w:rsid w:val="004328FC"/>
    <w:rsid w:val="004365E3"/>
    <w:rsid w:val="004373BE"/>
    <w:rsid w:val="004533E2"/>
    <w:rsid w:val="0047176F"/>
    <w:rsid w:val="004C7C93"/>
    <w:rsid w:val="004D0F79"/>
    <w:rsid w:val="004D633D"/>
    <w:rsid w:val="004E2E67"/>
    <w:rsid w:val="004F233E"/>
    <w:rsid w:val="0050139A"/>
    <w:rsid w:val="00507653"/>
    <w:rsid w:val="00554E98"/>
    <w:rsid w:val="0056629B"/>
    <w:rsid w:val="00567E3A"/>
    <w:rsid w:val="00576146"/>
    <w:rsid w:val="005B28FE"/>
    <w:rsid w:val="005C51E7"/>
    <w:rsid w:val="005D27F2"/>
    <w:rsid w:val="005D7BA5"/>
    <w:rsid w:val="005F3AAA"/>
    <w:rsid w:val="00606AAD"/>
    <w:rsid w:val="006120B3"/>
    <w:rsid w:val="00612495"/>
    <w:rsid w:val="00634B52"/>
    <w:rsid w:val="00642CB7"/>
    <w:rsid w:val="00682E07"/>
    <w:rsid w:val="006A34DB"/>
    <w:rsid w:val="006B6122"/>
    <w:rsid w:val="006D335F"/>
    <w:rsid w:val="006D4B21"/>
    <w:rsid w:val="006E360E"/>
    <w:rsid w:val="006E5064"/>
    <w:rsid w:val="006F5A67"/>
    <w:rsid w:val="007411C1"/>
    <w:rsid w:val="00770D6B"/>
    <w:rsid w:val="00794E7F"/>
    <w:rsid w:val="007A2AC5"/>
    <w:rsid w:val="007E03F0"/>
    <w:rsid w:val="007E070C"/>
    <w:rsid w:val="007E1972"/>
    <w:rsid w:val="007F13C3"/>
    <w:rsid w:val="00811BFD"/>
    <w:rsid w:val="0083587F"/>
    <w:rsid w:val="00886F9F"/>
    <w:rsid w:val="0089121E"/>
    <w:rsid w:val="0089778E"/>
    <w:rsid w:val="008C684F"/>
    <w:rsid w:val="00904F6F"/>
    <w:rsid w:val="009056FF"/>
    <w:rsid w:val="00906E31"/>
    <w:rsid w:val="009168E9"/>
    <w:rsid w:val="00921D4C"/>
    <w:rsid w:val="009349AA"/>
    <w:rsid w:val="00945F78"/>
    <w:rsid w:val="009557B2"/>
    <w:rsid w:val="00956A7D"/>
    <w:rsid w:val="0096224A"/>
    <w:rsid w:val="00963F4C"/>
    <w:rsid w:val="00964582"/>
    <w:rsid w:val="009705D5"/>
    <w:rsid w:val="009B4062"/>
    <w:rsid w:val="009B6BB8"/>
    <w:rsid w:val="009B7A90"/>
    <w:rsid w:val="00A33373"/>
    <w:rsid w:val="00A56BCF"/>
    <w:rsid w:val="00A6162C"/>
    <w:rsid w:val="00A76F9C"/>
    <w:rsid w:val="00A952FE"/>
    <w:rsid w:val="00AB271F"/>
    <w:rsid w:val="00AC162C"/>
    <w:rsid w:val="00AC6C6F"/>
    <w:rsid w:val="00AC7C01"/>
    <w:rsid w:val="00AE3E9A"/>
    <w:rsid w:val="00B11866"/>
    <w:rsid w:val="00B1790E"/>
    <w:rsid w:val="00B2276A"/>
    <w:rsid w:val="00B22D80"/>
    <w:rsid w:val="00B278EE"/>
    <w:rsid w:val="00B42D45"/>
    <w:rsid w:val="00B66A27"/>
    <w:rsid w:val="00B73112"/>
    <w:rsid w:val="00B9468D"/>
    <w:rsid w:val="00B9701A"/>
    <w:rsid w:val="00BC4FCB"/>
    <w:rsid w:val="00BD61A1"/>
    <w:rsid w:val="00C0200E"/>
    <w:rsid w:val="00C14F35"/>
    <w:rsid w:val="00C20B71"/>
    <w:rsid w:val="00C24325"/>
    <w:rsid w:val="00C650A9"/>
    <w:rsid w:val="00CA5E04"/>
    <w:rsid w:val="00CB06B9"/>
    <w:rsid w:val="00CB699B"/>
    <w:rsid w:val="00CC0735"/>
    <w:rsid w:val="00CD0A29"/>
    <w:rsid w:val="00CF0AD4"/>
    <w:rsid w:val="00CF7257"/>
    <w:rsid w:val="00D02966"/>
    <w:rsid w:val="00D0315F"/>
    <w:rsid w:val="00D178AD"/>
    <w:rsid w:val="00D2561C"/>
    <w:rsid w:val="00D535D7"/>
    <w:rsid w:val="00D66AC4"/>
    <w:rsid w:val="00D7231F"/>
    <w:rsid w:val="00D73B2C"/>
    <w:rsid w:val="00D83943"/>
    <w:rsid w:val="00D8454E"/>
    <w:rsid w:val="00DA7812"/>
    <w:rsid w:val="00DE34B8"/>
    <w:rsid w:val="00DE6148"/>
    <w:rsid w:val="00E05EF2"/>
    <w:rsid w:val="00E10785"/>
    <w:rsid w:val="00E275DE"/>
    <w:rsid w:val="00E46326"/>
    <w:rsid w:val="00E47E63"/>
    <w:rsid w:val="00E6130F"/>
    <w:rsid w:val="00E6133E"/>
    <w:rsid w:val="00E67D14"/>
    <w:rsid w:val="00E74225"/>
    <w:rsid w:val="00E8049A"/>
    <w:rsid w:val="00EB0E7D"/>
    <w:rsid w:val="00EC23D1"/>
    <w:rsid w:val="00ED4E9E"/>
    <w:rsid w:val="00EE0215"/>
    <w:rsid w:val="00EE2ED0"/>
    <w:rsid w:val="00EE5AB2"/>
    <w:rsid w:val="00EE72E5"/>
    <w:rsid w:val="00F16E54"/>
    <w:rsid w:val="00F30B26"/>
    <w:rsid w:val="00F37C03"/>
    <w:rsid w:val="00F57D80"/>
    <w:rsid w:val="00F65D1A"/>
    <w:rsid w:val="00F963A0"/>
    <w:rsid w:val="00FB015B"/>
    <w:rsid w:val="00FD43EC"/>
  </w:rsids>
  <w:docVars>
    <w:docVar w:name="__Grammarly_42___1" w:val="H4sIAAAAAAAEAKtWcslP9kxRslIyNDayNLCwNDA1NDcxMTczMzBT0lEKTi0uzszPAykwqgUAhha76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063E2E"/>
  <w15:chartTrackingRefBased/>
  <w15:docId w15:val="{90D5FD86-20FD-4277-BBF0-81800EAB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B3"/>
  </w:style>
  <w:style w:type="paragraph" w:styleId="Footer">
    <w:name w:val="footer"/>
    <w:basedOn w:val="Normal"/>
    <w:link w:val="FooterChar"/>
    <w:uiPriority w:val="99"/>
    <w:unhideWhenUsed/>
    <w:rsid w:val="0061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0B3"/>
  </w:style>
  <w:style w:type="paragraph" w:styleId="BalloonText">
    <w:name w:val="Balloon Text"/>
    <w:basedOn w:val="Normal"/>
    <w:link w:val="BalloonTextChar"/>
    <w:uiPriority w:val="99"/>
    <w:semiHidden/>
    <w:unhideWhenUsed/>
    <w:rsid w:val="006120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0B3"/>
    <w:rPr>
      <w:rFonts w:ascii="Tahoma" w:hAnsi="Tahoma" w:cs="Tahoma"/>
      <w:sz w:val="16"/>
      <w:szCs w:val="16"/>
    </w:rPr>
  </w:style>
  <w:style w:type="paragraph" w:customStyle="1" w:styleId="body">
    <w:name w:val=".body"/>
    <w:basedOn w:val="Normal"/>
    <w:link w:val="bodyChar"/>
    <w:qFormat/>
    <w:rsid w:val="009168E9"/>
    <w:rPr>
      <w:color w:val="000000"/>
      <w:sz w:val="20"/>
      <w:szCs w:val="20"/>
    </w:rPr>
  </w:style>
  <w:style w:type="paragraph" w:customStyle="1" w:styleId="sectionheader">
    <w:name w:val=".section header"/>
    <w:basedOn w:val="Normal"/>
    <w:link w:val="sectionheaderChar"/>
    <w:qFormat/>
    <w:rsid w:val="00ED4E9E"/>
    <w:pPr>
      <w:spacing w:after="40"/>
    </w:pPr>
    <w:rPr>
      <w:color w:val="808080"/>
      <w:sz w:val="24"/>
      <w:szCs w:val="24"/>
    </w:rPr>
  </w:style>
  <w:style w:type="character" w:customStyle="1" w:styleId="bodyChar">
    <w:name w:val=".body Char"/>
    <w:link w:val="body"/>
    <w:rsid w:val="009168E9"/>
    <w:rPr>
      <w:color w:val="000000"/>
    </w:rPr>
  </w:style>
  <w:style w:type="paragraph" w:customStyle="1" w:styleId="page2title">
    <w:name w:val=".page 2 title"/>
    <w:basedOn w:val="Header"/>
    <w:link w:val="page2titleChar"/>
    <w:qFormat/>
    <w:rsid w:val="00B9701A"/>
    <w:pPr>
      <w:spacing w:before="1080"/>
    </w:pPr>
    <w:rPr>
      <w:noProof/>
      <w:color w:val="808080"/>
      <w:sz w:val="36"/>
      <w:szCs w:val="40"/>
    </w:rPr>
  </w:style>
  <w:style w:type="character" w:customStyle="1" w:styleId="sectionheaderChar">
    <w:name w:val=".section header Char"/>
    <w:link w:val="sectionheader"/>
    <w:rsid w:val="00ED4E9E"/>
    <w:rPr>
      <w:color w:val="808080"/>
      <w:sz w:val="24"/>
      <w:szCs w:val="24"/>
    </w:rPr>
  </w:style>
  <w:style w:type="paragraph" w:customStyle="1" w:styleId="title">
    <w:name w:val=".title"/>
    <w:basedOn w:val="Normal"/>
    <w:link w:val="titleChar"/>
    <w:qFormat/>
    <w:rsid w:val="0096224A"/>
    <w:pPr>
      <w:spacing w:after="360" w:line="180" w:lineRule="auto"/>
      <w:ind w:right="2880"/>
    </w:pPr>
    <w:rPr>
      <w:color w:val="808080"/>
      <w:sz w:val="56"/>
      <w:szCs w:val="72"/>
    </w:rPr>
  </w:style>
  <w:style w:type="character" w:customStyle="1" w:styleId="page2titleChar">
    <w:name w:val=".page 2 title Char"/>
    <w:link w:val="page2title"/>
    <w:rsid w:val="00B9701A"/>
    <w:rPr>
      <w:noProof/>
      <w:color w:val="808080"/>
      <w:sz w:val="36"/>
      <w:szCs w:val="40"/>
    </w:rPr>
  </w:style>
  <w:style w:type="paragraph" w:customStyle="1" w:styleId="bullet">
    <w:name w:val=".bullet"/>
    <w:basedOn w:val="Normal"/>
    <w:link w:val="bulletChar"/>
    <w:qFormat/>
    <w:rsid w:val="009168E9"/>
    <w:pPr>
      <w:numPr>
        <w:numId w:val="1"/>
      </w:numPr>
      <w:ind w:left="360"/>
    </w:pPr>
    <w:rPr>
      <w:color w:val="000000"/>
      <w:sz w:val="20"/>
    </w:rPr>
  </w:style>
  <w:style w:type="character" w:customStyle="1" w:styleId="titleChar">
    <w:name w:val=".title Char"/>
    <w:link w:val="title"/>
    <w:rsid w:val="0096224A"/>
    <w:rPr>
      <w:color w:val="808080"/>
      <w:sz w:val="56"/>
      <w:szCs w:val="72"/>
    </w:rPr>
  </w:style>
  <w:style w:type="paragraph" w:customStyle="1" w:styleId="numberlist">
    <w:name w:val=".number list"/>
    <w:basedOn w:val="Normal"/>
    <w:link w:val="numberlistChar"/>
    <w:qFormat/>
    <w:rsid w:val="009168E9"/>
    <w:pPr>
      <w:numPr>
        <w:numId w:val="2"/>
      </w:numPr>
      <w:ind w:left="360"/>
    </w:pPr>
    <w:rPr>
      <w:sz w:val="20"/>
    </w:rPr>
  </w:style>
  <w:style w:type="character" w:customStyle="1" w:styleId="bulletChar">
    <w:name w:val=".bullet Char"/>
    <w:link w:val="bullet"/>
    <w:rsid w:val="009168E9"/>
    <w:rPr>
      <w:color w:val="000000"/>
      <w:szCs w:val="22"/>
    </w:rPr>
  </w:style>
  <w:style w:type="paragraph" w:customStyle="1" w:styleId="subbullet">
    <w:name w:val=".sub bullet"/>
    <w:basedOn w:val="bullet"/>
    <w:link w:val="subbulletChar"/>
    <w:qFormat/>
    <w:rsid w:val="009168E9"/>
    <w:pPr>
      <w:numPr>
        <w:numId w:val="3"/>
      </w:numPr>
    </w:pPr>
  </w:style>
  <w:style w:type="character" w:customStyle="1" w:styleId="numberlistChar">
    <w:name w:val=".number list Char"/>
    <w:link w:val="numberlist"/>
    <w:rsid w:val="009168E9"/>
    <w:rPr>
      <w:szCs w:val="22"/>
    </w:rPr>
  </w:style>
  <w:style w:type="paragraph" w:customStyle="1" w:styleId="textbox">
    <w:name w:val=".text box"/>
    <w:basedOn w:val="Normal"/>
    <w:link w:val="textboxChar"/>
    <w:qFormat/>
    <w:rsid w:val="0089778E"/>
    <w:pPr>
      <w:pBdr>
        <w:top w:val="single" w:sz="2" w:space="6" w:color="808080"/>
        <w:bottom w:val="single" w:sz="2" w:space="6" w:color="808080"/>
      </w:pBdr>
      <w:spacing w:line="240" w:lineRule="auto"/>
      <w:jc w:val="center"/>
    </w:pPr>
    <w:rPr>
      <w:color w:val="5A525A"/>
      <w:sz w:val="32"/>
      <w:szCs w:val="32"/>
    </w:rPr>
  </w:style>
  <w:style w:type="character" w:customStyle="1" w:styleId="subbulletChar">
    <w:name w:val=".sub bullet Char"/>
    <w:basedOn w:val="bulletChar"/>
    <w:link w:val="subbullet"/>
    <w:rsid w:val="009168E9"/>
    <w:rPr>
      <w:color w:val="000000"/>
      <w:szCs w:val="22"/>
    </w:rPr>
  </w:style>
  <w:style w:type="character" w:customStyle="1" w:styleId="textboxChar">
    <w:name w:val=".text box Char"/>
    <w:link w:val="textbox"/>
    <w:rsid w:val="0089778E"/>
    <w:rPr>
      <w:color w:val="5A525A"/>
      <w:sz w:val="32"/>
      <w:szCs w:val="32"/>
    </w:rPr>
  </w:style>
  <w:style w:type="character" w:styleId="CommentReference">
    <w:name w:val="annotation reference"/>
    <w:basedOn w:val="DefaultParagraphFont"/>
    <w:uiPriority w:val="99"/>
    <w:semiHidden/>
    <w:unhideWhenUsed/>
    <w:rsid w:val="00AE3E9A"/>
    <w:rPr>
      <w:sz w:val="16"/>
      <w:szCs w:val="16"/>
    </w:rPr>
  </w:style>
  <w:style w:type="paragraph" w:styleId="CommentText">
    <w:name w:val="annotation text"/>
    <w:basedOn w:val="Normal"/>
    <w:link w:val="CommentTextChar"/>
    <w:uiPriority w:val="99"/>
    <w:semiHidden/>
    <w:unhideWhenUsed/>
    <w:rsid w:val="00AE3E9A"/>
    <w:pPr>
      <w:spacing w:line="240" w:lineRule="auto"/>
    </w:pPr>
    <w:rPr>
      <w:sz w:val="20"/>
      <w:szCs w:val="20"/>
    </w:rPr>
  </w:style>
  <w:style w:type="character" w:customStyle="1" w:styleId="CommentTextChar">
    <w:name w:val="Comment Text Char"/>
    <w:basedOn w:val="DefaultParagraphFont"/>
    <w:link w:val="CommentText"/>
    <w:uiPriority w:val="99"/>
    <w:semiHidden/>
    <w:rsid w:val="00AE3E9A"/>
  </w:style>
  <w:style w:type="paragraph" w:styleId="CommentSubject">
    <w:name w:val="annotation subject"/>
    <w:basedOn w:val="CommentText"/>
    <w:next w:val="CommentText"/>
    <w:link w:val="CommentSubjectChar"/>
    <w:uiPriority w:val="99"/>
    <w:semiHidden/>
    <w:unhideWhenUsed/>
    <w:rsid w:val="00AE3E9A"/>
    <w:rPr>
      <w:b/>
      <w:bCs/>
    </w:rPr>
  </w:style>
  <w:style w:type="character" w:customStyle="1" w:styleId="CommentSubjectChar">
    <w:name w:val="Comment Subject Char"/>
    <w:basedOn w:val="CommentTextChar"/>
    <w:link w:val="CommentSubject"/>
    <w:uiPriority w:val="99"/>
    <w:semiHidden/>
    <w:rsid w:val="00AE3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3.png"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_rels/header4.xml.rels><?xml version="1.0" encoding="utf-8" standalone="yes"?><Relationships xmlns="http://schemas.openxmlformats.org/package/2006/relationships"><Relationship Id="rId1" Type="http://schemas.openxmlformats.org/officeDocument/2006/relationships/image" Target="media/image5.jpeg" /></Relationships>
</file>

<file path=word/_rels/settings.xml.rels><?xml version="1.0" encoding="utf-8" standalone="yes"?><Relationships xmlns="http://schemas.openxmlformats.org/package/2006/relationships"><Relationship Id="rId1" Type="http://schemas.openxmlformats.org/officeDocument/2006/relationships/attachedTemplate" Target="file:///I:\Content%20Development\MASTER%20TEMPLATES\PC%20Content\Risk%20Insights\New%20Risk%20Insights\RI_Religious%20Organization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9BDC-A130-42F3-98B9-F8DAED9D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RI_Religious Organizations</Template>
  <TotalTime>3</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Zyvoloski, Brendan</dc:creator>
  <cp:lastModifiedBy>Gainsburg, Rebecca</cp:lastModifiedBy>
  <cp:revision>2</cp:revision>
  <cp:lastPrinted>2013-01-29T21:10:00Z</cp:lastPrinted>
  <dcterms:created xsi:type="dcterms:W3CDTF">2022-03-28T12:55:00Z</dcterms:created>
  <dcterms:modified xsi:type="dcterms:W3CDTF">2022-03-28T12:55:00Z</dcterms:modified>
</cp:coreProperties>
</file>